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006E" w14:textId="77777777" w:rsidR="00B009EA" w:rsidRPr="00BB544B" w:rsidRDefault="00B009EA" w:rsidP="00BB544B">
      <w:pPr>
        <w:spacing w:line="240" w:lineRule="auto"/>
        <w:jc w:val="both"/>
        <w:rPr>
          <w:rFonts w:ascii="Times New Roman" w:hAnsi="Times New Roman" w:cs="Times New Roman"/>
          <w:b/>
          <w:bCs/>
          <w:sz w:val="20"/>
          <w:szCs w:val="20"/>
        </w:rPr>
      </w:pPr>
    </w:p>
    <w:p w14:paraId="7D23B20E" w14:textId="4DE9748C" w:rsidR="00E4480B" w:rsidRDefault="00E4480B" w:rsidP="00BB544B">
      <w:pPr>
        <w:spacing w:line="240" w:lineRule="auto"/>
        <w:jc w:val="both"/>
        <w:rPr>
          <w:rFonts w:ascii="Times New Roman" w:hAnsi="Times New Roman" w:cs="Times New Roman"/>
          <w:b/>
          <w:bCs/>
          <w:sz w:val="28"/>
          <w:szCs w:val="28"/>
        </w:rPr>
      </w:pPr>
      <w:r w:rsidRPr="00BB544B">
        <w:rPr>
          <w:rFonts w:ascii="Times New Roman" w:hAnsi="Times New Roman" w:cs="Times New Roman"/>
          <w:b/>
          <w:bCs/>
          <w:sz w:val="28"/>
          <w:szCs w:val="28"/>
        </w:rPr>
        <w:t>Boala de depozitare a glicogenului</w:t>
      </w:r>
      <w:r w:rsidR="006D7764" w:rsidRPr="00BB544B">
        <w:rPr>
          <w:rFonts w:ascii="Times New Roman" w:hAnsi="Times New Roman" w:cs="Times New Roman"/>
          <w:b/>
          <w:bCs/>
          <w:sz w:val="28"/>
          <w:szCs w:val="28"/>
        </w:rPr>
        <w:t xml:space="preserve"> (GSD)</w:t>
      </w:r>
      <w:r w:rsidR="00427BDE">
        <w:rPr>
          <w:rFonts w:ascii="Times New Roman" w:hAnsi="Times New Roman" w:cs="Times New Roman"/>
          <w:b/>
          <w:bCs/>
          <w:sz w:val="28"/>
          <w:szCs w:val="28"/>
        </w:rPr>
        <w:t xml:space="preserve"> - UPU</w:t>
      </w:r>
    </w:p>
    <w:p w14:paraId="524BBD78" w14:textId="1E8B204E" w:rsidR="00E4480B"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 xml:space="preserve">Pacienții cu această tulburare sunt dependenți de o cantitate continuă de glucoză. Evitarea strictă a perioadelor catabolice este critică, deoarece chiar și perioadele scurte de catabolism pot duce la hipoglicemie profundă, acidoză lactică și convulsii. Astfel, dacă pacientul nu este capabil să tolereze amidonul de porumb, </w:t>
      </w:r>
      <w:r w:rsidR="009B2864" w:rsidRPr="00BB544B">
        <w:rPr>
          <w:rFonts w:ascii="Times New Roman" w:hAnsi="Times New Roman" w:cs="Times New Roman"/>
          <w:sz w:val="20"/>
          <w:szCs w:val="20"/>
        </w:rPr>
        <w:t>vomită</w:t>
      </w:r>
      <w:r w:rsidRPr="00BB544B">
        <w:rPr>
          <w:rFonts w:ascii="Times New Roman" w:hAnsi="Times New Roman" w:cs="Times New Roman"/>
          <w:sz w:val="20"/>
          <w:szCs w:val="20"/>
        </w:rPr>
        <w:t xml:space="preserve"> sau trebuie să postească mai mult de 2-3 ore</w:t>
      </w:r>
      <w:r w:rsidR="00D33C3B" w:rsidRPr="00BB544B">
        <w:rPr>
          <w:rFonts w:ascii="Times New Roman" w:hAnsi="Times New Roman" w:cs="Times New Roman"/>
          <w:sz w:val="20"/>
          <w:szCs w:val="20"/>
        </w:rPr>
        <w:t xml:space="preserve"> pentru tipul </w:t>
      </w:r>
      <w:r w:rsidR="009A6A3C" w:rsidRPr="00BB544B">
        <w:rPr>
          <w:rFonts w:ascii="Times New Roman" w:hAnsi="Times New Roman" w:cs="Times New Roman"/>
          <w:sz w:val="20"/>
          <w:szCs w:val="20"/>
        </w:rPr>
        <w:t>(</w:t>
      </w:r>
      <w:r w:rsidR="00D33C3B" w:rsidRPr="00BB544B">
        <w:rPr>
          <w:rFonts w:ascii="Times New Roman" w:hAnsi="Times New Roman" w:cs="Times New Roman"/>
          <w:sz w:val="20"/>
          <w:szCs w:val="20"/>
        </w:rPr>
        <w:t xml:space="preserve">1a, 1b </w:t>
      </w:r>
      <w:r w:rsidR="009A6A3C" w:rsidRPr="00BB544B">
        <w:rPr>
          <w:rFonts w:ascii="Times New Roman" w:hAnsi="Times New Roman" w:cs="Times New Roman"/>
          <w:sz w:val="20"/>
          <w:szCs w:val="20"/>
        </w:rPr>
        <w:t>)</w:t>
      </w:r>
      <w:r w:rsidR="00D33C3B" w:rsidRPr="00BB544B">
        <w:rPr>
          <w:rFonts w:ascii="Times New Roman" w:hAnsi="Times New Roman" w:cs="Times New Roman"/>
          <w:sz w:val="20"/>
          <w:szCs w:val="20"/>
        </w:rPr>
        <w:t xml:space="preserve"> </w:t>
      </w:r>
      <w:r w:rsidR="009A6A3C" w:rsidRPr="00BB544B">
        <w:rPr>
          <w:rFonts w:ascii="Times New Roman" w:hAnsi="Times New Roman" w:cs="Times New Roman"/>
          <w:sz w:val="20"/>
          <w:szCs w:val="20"/>
        </w:rPr>
        <w:t>și</w:t>
      </w:r>
      <w:r w:rsidR="00D33C3B" w:rsidRPr="00BB544B">
        <w:rPr>
          <w:rFonts w:ascii="Times New Roman" w:hAnsi="Times New Roman" w:cs="Times New Roman"/>
          <w:sz w:val="20"/>
          <w:szCs w:val="20"/>
        </w:rPr>
        <w:t xml:space="preserve"> 6-8 ore pentru tipul IX</w:t>
      </w:r>
      <w:r w:rsidRPr="00BB544B">
        <w:rPr>
          <w:rFonts w:ascii="Times New Roman" w:hAnsi="Times New Roman" w:cs="Times New Roman"/>
          <w:sz w:val="20"/>
          <w:szCs w:val="20"/>
        </w:rPr>
        <w:t>, vă recomandăm următoarele:</w:t>
      </w:r>
    </w:p>
    <w:p w14:paraId="12B8C7F7" w14:textId="6E4BED82" w:rsidR="00E4480B"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1. La sosirea în secția de urgență, trebuie să primească</w:t>
      </w:r>
      <w:r w:rsidRPr="00BB544B">
        <w:rPr>
          <w:rFonts w:ascii="Times New Roman" w:hAnsi="Times New Roman" w:cs="Times New Roman"/>
          <w:b/>
          <w:bCs/>
          <w:sz w:val="20"/>
          <w:szCs w:val="20"/>
        </w:rPr>
        <w:t xml:space="preserve"> </w:t>
      </w:r>
      <w:r w:rsidR="00D33C3B" w:rsidRPr="00BB544B">
        <w:rPr>
          <w:rFonts w:ascii="Times New Roman" w:hAnsi="Times New Roman" w:cs="Times New Roman"/>
          <w:b/>
          <w:bCs/>
          <w:sz w:val="20"/>
          <w:szCs w:val="20"/>
        </w:rPr>
        <w:t>IMEDIAT</w:t>
      </w:r>
      <w:r w:rsidRPr="00BB544B">
        <w:rPr>
          <w:rFonts w:ascii="Times New Roman" w:hAnsi="Times New Roman" w:cs="Times New Roman"/>
          <w:sz w:val="20"/>
          <w:szCs w:val="20"/>
        </w:rPr>
        <w:t xml:space="preserve"> tratament.</w:t>
      </w:r>
    </w:p>
    <w:p w14:paraId="55DC18D5" w14:textId="0EEAB155" w:rsidR="00E4480B"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2. Fluidele intravenoase trebuie începute la sosirea în secția de urgență cu D10 ½ ser fiziologic normal</w:t>
      </w:r>
      <w:r w:rsidR="00CA28E7" w:rsidRPr="00BB544B">
        <w:rPr>
          <w:rFonts w:ascii="Times New Roman" w:hAnsi="Times New Roman" w:cs="Times New Roman"/>
          <w:sz w:val="20"/>
          <w:szCs w:val="20"/>
        </w:rPr>
        <w:t>.</w:t>
      </w:r>
    </w:p>
    <w:p w14:paraId="77B195DE" w14:textId="7D612B1B" w:rsidR="00E4480B"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3. Glicemia, electroliții</w:t>
      </w:r>
      <w:r w:rsidR="00D33C3B" w:rsidRPr="00BB544B">
        <w:rPr>
          <w:rFonts w:ascii="Times New Roman" w:hAnsi="Times New Roman" w:cs="Times New Roman"/>
          <w:sz w:val="20"/>
          <w:szCs w:val="20"/>
        </w:rPr>
        <w:t>,</w:t>
      </w:r>
      <w:r w:rsidRPr="00BB544B">
        <w:rPr>
          <w:rFonts w:ascii="Times New Roman" w:hAnsi="Times New Roman" w:cs="Times New Roman"/>
          <w:sz w:val="20"/>
          <w:szCs w:val="20"/>
        </w:rPr>
        <w:t xml:space="preserve"> lactatul </w:t>
      </w:r>
      <w:r w:rsidR="00D33C3B" w:rsidRPr="00BB544B">
        <w:rPr>
          <w:rFonts w:ascii="Times New Roman" w:hAnsi="Times New Roman" w:cs="Times New Roman"/>
          <w:sz w:val="20"/>
          <w:szCs w:val="20"/>
        </w:rPr>
        <w:t xml:space="preserve"> și cetonele </w:t>
      </w:r>
      <w:r w:rsidRPr="00BB544B">
        <w:rPr>
          <w:rFonts w:ascii="Times New Roman" w:hAnsi="Times New Roman" w:cs="Times New Roman"/>
          <w:sz w:val="20"/>
          <w:szCs w:val="20"/>
        </w:rPr>
        <w:t>din sânge trebuie verificate la sosire</w:t>
      </w:r>
      <w:r w:rsidR="00D33C3B" w:rsidRPr="00BB544B">
        <w:rPr>
          <w:rFonts w:ascii="Times New Roman" w:hAnsi="Times New Roman" w:cs="Times New Roman"/>
          <w:sz w:val="20"/>
          <w:szCs w:val="20"/>
        </w:rPr>
        <w:t>.</w:t>
      </w:r>
    </w:p>
    <w:p w14:paraId="16E84BF3" w14:textId="06056C03" w:rsidR="00E4480B"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 xml:space="preserve">4. Concentrațiile de glucoză trebuie să fie evaluate cel puțin </w:t>
      </w:r>
      <w:r w:rsidR="009B2864" w:rsidRPr="00BB544B">
        <w:rPr>
          <w:rFonts w:ascii="Times New Roman" w:hAnsi="Times New Roman" w:cs="Times New Roman"/>
          <w:sz w:val="20"/>
          <w:szCs w:val="20"/>
        </w:rPr>
        <w:t>la 1 oră</w:t>
      </w:r>
      <w:r w:rsidRPr="00BB544B">
        <w:rPr>
          <w:rFonts w:ascii="Times New Roman" w:hAnsi="Times New Roman" w:cs="Times New Roman"/>
          <w:sz w:val="20"/>
          <w:szCs w:val="20"/>
        </w:rPr>
        <w:t xml:space="preserve"> pentru a se asigura ca nu apare hipoglicemia.</w:t>
      </w:r>
    </w:p>
    <w:p w14:paraId="2779CA26" w14:textId="77777777" w:rsidR="00220717" w:rsidRPr="00BB544B" w:rsidRDefault="00E4480B"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5. Bolusurile de dextroză (0,15 - 0,3 g glucoză pe kg)</w:t>
      </w:r>
      <w:r w:rsidR="009D735C" w:rsidRPr="00BB544B">
        <w:rPr>
          <w:rFonts w:ascii="Times New Roman" w:hAnsi="Times New Roman" w:cs="Times New Roman"/>
          <w:sz w:val="20"/>
          <w:szCs w:val="20"/>
        </w:rPr>
        <w:t xml:space="preserve">, soluţia perfuzabilă de dextroză se administrează prin venă (i.v.) </w:t>
      </w:r>
      <w:r w:rsidRPr="00BB544B">
        <w:rPr>
          <w:rFonts w:ascii="Times New Roman" w:hAnsi="Times New Roman" w:cs="Times New Roman"/>
          <w:sz w:val="20"/>
          <w:szCs w:val="20"/>
        </w:rPr>
        <w:t xml:space="preserve">și </w:t>
      </w:r>
      <w:r w:rsidR="009D735C" w:rsidRPr="00BB544B">
        <w:rPr>
          <w:rFonts w:ascii="Times New Roman" w:hAnsi="Times New Roman" w:cs="Times New Roman"/>
          <w:sz w:val="20"/>
          <w:szCs w:val="20"/>
        </w:rPr>
        <w:t xml:space="preserve"> trebuie </w:t>
      </w:r>
      <w:r w:rsidRPr="00BB544B">
        <w:rPr>
          <w:rFonts w:ascii="Times New Roman" w:hAnsi="Times New Roman" w:cs="Times New Roman"/>
          <w:sz w:val="20"/>
          <w:szCs w:val="20"/>
        </w:rPr>
        <w:t>utilizate pentru a menține glucoza din sânge peste 75 mg / dL</w:t>
      </w:r>
      <w:r w:rsidR="00D33C3B" w:rsidRPr="00BB544B">
        <w:rPr>
          <w:rFonts w:ascii="Times New Roman" w:hAnsi="Times New Roman" w:cs="Times New Roman"/>
          <w:sz w:val="20"/>
          <w:szCs w:val="20"/>
        </w:rPr>
        <w:t>,</w:t>
      </w:r>
      <w:r w:rsidRPr="00BB544B">
        <w:rPr>
          <w:rFonts w:ascii="Times New Roman" w:hAnsi="Times New Roman" w:cs="Times New Roman"/>
          <w:sz w:val="20"/>
          <w:szCs w:val="20"/>
        </w:rPr>
        <w:t xml:space="preserve"> lactatele sub 2,2 mmol / dL</w:t>
      </w:r>
      <w:r w:rsidR="00D33C3B" w:rsidRPr="00BB544B">
        <w:rPr>
          <w:rFonts w:ascii="Times New Roman" w:hAnsi="Times New Roman" w:cs="Times New Roman"/>
          <w:sz w:val="20"/>
          <w:szCs w:val="20"/>
        </w:rPr>
        <w:t xml:space="preserve"> și cetonele serice mai mici 0,4 mmol/L.</w:t>
      </w:r>
      <w:r w:rsidR="00DF133E" w:rsidRPr="00BB544B">
        <w:rPr>
          <w:rFonts w:ascii="Times New Roman" w:hAnsi="Times New Roman" w:cs="Times New Roman"/>
          <w:sz w:val="20"/>
          <w:szCs w:val="20"/>
        </w:rPr>
        <w:t xml:space="preserve"> </w:t>
      </w:r>
      <w:r w:rsidRPr="00BB544B">
        <w:rPr>
          <w:rFonts w:ascii="Times New Roman" w:hAnsi="Times New Roman" w:cs="Times New Roman"/>
          <w:sz w:val="20"/>
          <w:szCs w:val="20"/>
        </w:rPr>
        <w:t xml:space="preserve">Dacă utilizați aparate de măsurare a punctului de îngrijire pentru a testa glucoza din sânge, rețineți că se știe că lactatele interferează cu acuratețea acestor aparate. Rezultatele pot fi semnificativ mai mari în prezența lactatelor, care sunt frecvente în perioadele de decompensare în GSD. Pacientului ar trebui să i se permită să-și folosească propriile </w:t>
      </w:r>
      <w:r w:rsidR="009D735C" w:rsidRPr="00BB544B">
        <w:rPr>
          <w:rFonts w:ascii="Times New Roman" w:hAnsi="Times New Roman" w:cs="Times New Roman"/>
          <w:sz w:val="20"/>
          <w:szCs w:val="20"/>
        </w:rPr>
        <w:t>aparate</w:t>
      </w:r>
      <w:r w:rsidRPr="00BB544B">
        <w:rPr>
          <w:rFonts w:ascii="Times New Roman" w:hAnsi="Times New Roman" w:cs="Times New Roman"/>
          <w:sz w:val="20"/>
          <w:szCs w:val="20"/>
        </w:rPr>
        <w:t xml:space="preserve"> pentru comparație.</w:t>
      </w:r>
    </w:p>
    <w:p w14:paraId="67DD80F0" w14:textId="4CB925E7" w:rsidR="00220717" w:rsidRPr="00BB544B" w:rsidRDefault="00220717"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 xml:space="preserve">6. </w:t>
      </w:r>
      <w:r w:rsidR="00203F0B">
        <w:rPr>
          <w:rFonts w:ascii="Times New Roman" w:hAnsi="Times New Roman" w:cs="Times New Roman"/>
          <w:sz w:val="20"/>
          <w:szCs w:val="20"/>
        </w:rPr>
        <w:t>T</w:t>
      </w:r>
      <w:r w:rsidRPr="00BB544B">
        <w:rPr>
          <w:rFonts w:ascii="Times New Roman" w:hAnsi="Times New Roman" w:cs="Times New Roman"/>
          <w:sz w:val="20"/>
          <w:szCs w:val="20"/>
        </w:rPr>
        <w:t>ipul 1b de glicogenoză au un istoric de neutropenie, iar evaluarea și gestionarea etiologiilor infecțioase sunt critice dacă pacientul prezintă stare febrilă.</w:t>
      </w:r>
    </w:p>
    <w:p w14:paraId="379B2394" w14:textId="290ED1AB" w:rsidR="00E4480B" w:rsidRPr="00BB544B" w:rsidRDefault="00220717"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7</w:t>
      </w:r>
      <w:r w:rsidR="00E4480B" w:rsidRPr="00BB544B">
        <w:rPr>
          <w:rFonts w:ascii="Times New Roman" w:hAnsi="Times New Roman" w:cs="Times New Roman"/>
          <w:sz w:val="20"/>
          <w:szCs w:val="20"/>
        </w:rPr>
        <w:t xml:space="preserve">. D10 nu trebuie deconectat până când pacientul nu-și poate tolera regimul obișnuit de aport alimentar și amidon de porumb. Odată ce aportul enteral a fost tolerat, dextroza IV trebuie înțărcată lent timp de 2-3 ore. Întreruperea rapidă a lichidului Dextroză </w:t>
      </w:r>
      <w:r w:rsidR="009D735C" w:rsidRPr="00BB544B">
        <w:rPr>
          <w:rFonts w:ascii="Times New Roman" w:hAnsi="Times New Roman" w:cs="Times New Roman"/>
          <w:sz w:val="20"/>
          <w:szCs w:val="20"/>
        </w:rPr>
        <w:t>i.v.</w:t>
      </w:r>
      <w:r w:rsidR="00E4480B" w:rsidRPr="00BB544B">
        <w:rPr>
          <w:rFonts w:ascii="Times New Roman" w:hAnsi="Times New Roman" w:cs="Times New Roman"/>
          <w:sz w:val="20"/>
          <w:szCs w:val="20"/>
        </w:rPr>
        <w:t xml:space="preserve"> poate duce la hipoglicemie în această tulburare din cauza nivelurilor ridicate de insulină și a incapacității de contrareglare.</w:t>
      </w:r>
    </w:p>
    <w:p w14:paraId="693EB4A3" w14:textId="4F410525" w:rsidR="00275878" w:rsidRPr="00BB544B" w:rsidRDefault="00E4480B" w:rsidP="00BB544B">
      <w:pPr>
        <w:spacing w:line="240" w:lineRule="auto"/>
        <w:jc w:val="both"/>
        <w:rPr>
          <w:rFonts w:ascii="Times New Roman" w:hAnsi="Times New Roman" w:cs="Times New Roman"/>
          <w:b/>
          <w:bCs/>
          <w:sz w:val="20"/>
          <w:szCs w:val="20"/>
        </w:rPr>
      </w:pPr>
      <w:r w:rsidRPr="00BB544B">
        <w:rPr>
          <w:rFonts w:ascii="Times New Roman" w:hAnsi="Times New Roman" w:cs="Times New Roman"/>
          <w:b/>
          <w:bCs/>
          <w:sz w:val="20"/>
          <w:szCs w:val="20"/>
        </w:rPr>
        <w:t>Vă rugăm să rețineți că</w:t>
      </w:r>
      <w:r w:rsidR="00275878" w:rsidRPr="00BB544B">
        <w:rPr>
          <w:rFonts w:ascii="Times New Roman" w:hAnsi="Times New Roman" w:cs="Times New Roman"/>
          <w:b/>
          <w:bCs/>
          <w:sz w:val="20"/>
          <w:szCs w:val="20"/>
        </w:rPr>
        <w:t xml:space="preserve"> :</w:t>
      </w:r>
    </w:p>
    <w:p w14:paraId="37C2FFD7" w14:textId="304CB306" w:rsidR="00275878" w:rsidRPr="00BB544B" w:rsidRDefault="00E4480B" w:rsidP="00BB544B">
      <w:pPr>
        <w:pStyle w:val="ListParagraph"/>
        <w:numPr>
          <w:ilvl w:val="0"/>
          <w:numId w:val="1"/>
        </w:num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 xml:space="preserve">soluția </w:t>
      </w:r>
      <w:r w:rsidRPr="00BB544B">
        <w:rPr>
          <w:rFonts w:ascii="Times New Roman" w:hAnsi="Times New Roman" w:cs="Times New Roman"/>
          <w:b/>
          <w:bCs/>
          <w:sz w:val="20"/>
          <w:szCs w:val="20"/>
          <w:u w:val="single"/>
        </w:rPr>
        <w:t>Ringer</w:t>
      </w:r>
      <w:r w:rsidR="00B0176D">
        <w:rPr>
          <w:rFonts w:ascii="Times New Roman" w:hAnsi="Times New Roman" w:cs="Times New Roman"/>
          <w:b/>
          <w:bCs/>
          <w:sz w:val="20"/>
          <w:szCs w:val="20"/>
          <w:u w:val="single"/>
        </w:rPr>
        <w:t xml:space="preserve"> </w:t>
      </w:r>
      <w:r w:rsidR="00B0176D" w:rsidRPr="00BB544B">
        <w:rPr>
          <w:rFonts w:ascii="Times New Roman" w:hAnsi="Times New Roman" w:cs="Times New Roman"/>
          <w:b/>
          <w:bCs/>
          <w:sz w:val="20"/>
          <w:szCs w:val="20"/>
          <w:u w:val="single"/>
        </w:rPr>
        <w:t>Lactat</w:t>
      </w:r>
      <w:r w:rsidR="00275878" w:rsidRPr="00BB544B">
        <w:rPr>
          <w:rFonts w:ascii="Times New Roman" w:hAnsi="Times New Roman" w:cs="Times New Roman"/>
          <w:sz w:val="20"/>
          <w:szCs w:val="20"/>
        </w:rPr>
        <w:t xml:space="preserve">  </w:t>
      </w:r>
      <w:r w:rsidR="00275878" w:rsidRPr="003F2129">
        <w:rPr>
          <w:rFonts w:ascii="Times New Roman" w:hAnsi="Times New Roman" w:cs="Times New Roman"/>
          <w:b/>
          <w:bCs/>
          <w:color w:val="FF0000"/>
        </w:rPr>
        <w:t>NU</w:t>
      </w:r>
      <w:r w:rsidR="00275878" w:rsidRPr="003F2129">
        <w:rPr>
          <w:rFonts w:ascii="Times New Roman" w:hAnsi="Times New Roman" w:cs="Times New Roman"/>
          <w:color w:val="FF0000"/>
          <w:sz w:val="20"/>
          <w:szCs w:val="20"/>
        </w:rPr>
        <w:t xml:space="preserve"> </w:t>
      </w:r>
      <w:r w:rsidRPr="00BB544B">
        <w:rPr>
          <w:rFonts w:ascii="Times New Roman" w:hAnsi="Times New Roman" w:cs="Times New Roman"/>
          <w:sz w:val="20"/>
          <w:szCs w:val="20"/>
        </w:rPr>
        <w:t xml:space="preserve">trebuie </w:t>
      </w:r>
      <w:r w:rsidR="00B7698C">
        <w:rPr>
          <w:rFonts w:ascii="Times New Roman" w:hAnsi="Times New Roman" w:cs="Times New Roman"/>
          <w:sz w:val="20"/>
          <w:szCs w:val="20"/>
        </w:rPr>
        <w:t>dat</w:t>
      </w:r>
      <w:r w:rsidR="00E52E18">
        <w:rPr>
          <w:rFonts w:ascii="Times New Roman" w:hAnsi="Times New Roman" w:cs="Times New Roman"/>
          <w:sz w:val="20"/>
          <w:szCs w:val="20"/>
        </w:rPr>
        <w:t>ă</w:t>
      </w:r>
    </w:p>
    <w:p w14:paraId="5A70492F" w14:textId="3AEEBAC9" w:rsidR="006D7764" w:rsidRPr="00B7698C" w:rsidRDefault="00E4480B" w:rsidP="00BB544B">
      <w:pPr>
        <w:pStyle w:val="ListParagraph"/>
        <w:numPr>
          <w:ilvl w:val="0"/>
          <w:numId w:val="1"/>
        </w:numPr>
        <w:spacing w:line="240" w:lineRule="auto"/>
        <w:jc w:val="both"/>
        <w:rPr>
          <w:rFonts w:ascii="Times New Roman" w:hAnsi="Times New Roman" w:cs="Times New Roman"/>
          <w:sz w:val="20"/>
          <w:szCs w:val="20"/>
          <w:u w:val="single"/>
        </w:rPr>
      </w:pPr>
      <w:r w:rsidRPr="00BB544B">
        <w:rPr>
          <w:rFonts w:ascii="Times New Roman" w:hAnsi="Times New Roman" w:cs="Times New Roman"/>
          <w:b/>
          <w:bCs/>
          <w:sz w:val="20"/>
          <w:szCs w:val="20"/>
          <w:u w:val="single"/>
        </w:rPr>
        <w:t>Glucagon</w:t>
      </w:r>
      <w:r w:rsidR="006D7764" w:rsidRPr="00BB544B">
        <w:rPr>
          <w:rFonts w:ascii="Times New Roman" w:hAnsi="Times New Roman" w:cs="Times New Roman"/>
          <w:b/>
          <w:bCs/>
          <w:sz w:val="20"/>
          <w:szCs w:val="20"/>
        </w:rPr>
        <w:t xml:space="preserve"> </w:t>
      </w:r>
      <w:r w:rsidR="006D7764" w:rsidRPr="003F2129">
        <w:rPr>
          <w:rFonts w:ascii="Times New Roman" w:hAnsi="Times New Roman" w:cs="Times New Roman"/>
          <w:b/>
          <w:bCs/>
          <w:color w:val="FF0000"/>
        </w:rPr>
        <w:t xml:space="preserve">NU </w:t>
      </w:r>
      <w:r w:rsidRPr="00BB544B">
        <w:rPr>
          <w:rFonts w:ascii="Times New Roman" w:hAnsi="Times New Roman" w:cs="Times New Roman"/>
          <w:sz w:val="20"/>
          <w:szCs w:val="20"/>
        </w:rPr>
        <w:t>trebuie administrat niciodată unui pacient cu boală de depozitare a glicogenului</w:t>
      </w:r>
      <w:r w:rsidR="00275878" w:rsidRPr="00BB544B">
        <w:rPr>
          <w:rFonts w:ascii="Times New Roman" w:hAnsi="Times New Roman" w:cs="Times New Roman"/>
          <w:sz w:val="20"/>
          <w:szCs w:val="20"/>
        </w:rPr>
        <w:t xml:space="preserve">, </w:t>
      </w:r>
      <w:r w:rsidRPr="00BB544B">
        <w:rPr>
          <w:rFonts w:ascii="Times New Roman" w:hAnsi="Times New Roman" w:cs="Times New Roman"/>
          <w:sz w:val="20"/>
          <w:szCs w:val="20"/>
        </w:rPr>
        <w:t>deoarece va duce la acidoză severă</w:t>
      </w:r>
    </w:p>
    <w:p w14:paraId="73808E27" w14:textId="45F6241A" w:rsidR="00B7698C" w:rsidRPr="00BB544B" w:rsidRDefault="00B7698C" w:rsidP="00BB544B">
      <w:pPr>
        <w:pStyle w:val="ListParagraph"/>
        <w:numPr>
          <w:ilvl w:val="0"/>
          <w:numId w:val="1"/>
        </w:numPr>
        <w:spacing w:line="240" w:lineRule="auto"/>
        <w:jc w:val="both"/>
        <w:rPr>
          <w:rFonts w:ascii="Times New Roman" w:hAnsi="Times New Roman" w:cs="Times New Roman"/>
          <w:sz w:val="20"/>
          <w:szCs w:val="20"/>
          <w:u w:val="single"/>
        </w:rPr>
      </w:pPr>
      <w:r w:rsidRPr="003F2129">
        <w:rPr>
          <w:rFonts w:ascii="Times New Roman" w:hAnsi="Times New Roman" w:cs="Times New Roman"/>
          <w:b/>
          <w:bCs/>
          <w:color w:val="FF0000"/>
        </w:rPr>
        <w:t>NU</w:t>
      </w:r>
      <w:r w:rsidR="00E52E18" w:rsidRPr="003F2129">
        <w:rPr>
          <w:rFonts w:ascii="Times New Roman" w:hAnsi="Times New Roman" w:cs="Times New Roman"/>
          <w:b/>
          <w:bCs/>
          <w:color w:val="FF0000"/>
        </w:rPr>
        <w:t xml:space="preserve"> </w:t>
      </w:r>
      <w:r w:rsidR="00E52E18" w:rsidRPr="00E52E18">
        <w:rPr>
          <w:rFonts w:ascii="Times New Roman" w:hAnsi="Times New Roman" w:cs="Times New Roman"/>
        </w:rPr>
        <w:t>administrați</w:t>
      </w:r>
      <w:r w:rsidRPr="00E52E18">
        <w:rPr>
          <w:rFonts w:ascii="Times New Roman" w:hAnsi="Times New Roman" w:cs="Times New Roman"/>
        </w:rPr>
        <w:t xml:space="preserve"> </w:t>
      </w:r>
      <w:r w:rsidR="00E52E18" w:rsidRPr="00E52E18">
        <w:rPr>
          <w:rFonts w:ascii="Times New Roman" w:hAnsi="Times New Roman" w:cs="Times New Roman"/>
          <w:b/>
          <w:bCs/>
          <w:u w:val="single"/>
        </w:rPr>
        <w:t>I</w:t>
      </w:r>
      <w:r w:rsidRPr="00E52E18">
        <w:rPr>
          <w:rFonts w:ascii="Times New Roman" w:hAnsi="Times New Roman" w:cs="Times New Roman"/>
          <w:b/>
          <w:bCs/>
          <w:u w:val="single"/>
        </w:rPr>
        <w:t>nsulină</w:t>
      </w:r>
    </w:p>
    <w:p w14:paraId="0E83C1CB" w14:textId="3459CA24" w:rsidR="006D7764" w:rsidRPr="00195E75" w:rsidRDefault="006D7764" w:rsidP="00BB544B">
      <w:pPr>
        <w:pStyle w:val="ListParagraph"/>
        <w:numPr>
          <w:ilvl w:val="0"/>
          <w:numId w:val="1"/>
        </w:numPr>
        <w:spacing w:line="240" w:lineRule="auto"/>
        <w:jc w:val="both"/>
        <w:rPr>
          <w:rFonts w:ascii="Times New Roman" w:hAnsi="Times New Roman" w:cs="Times New Roman"/>
          <w:color w:val="000000" w:themeColor="text1"/>
          <w:sz w:val="20"/>
          <w:szCs w:val="20"/>
          <w:u w:val="single"/>
        </w:rPr>
      </w:pPr>
      <w:r w:rsidRPr="00195E75">
        <w:rPr>
          <w:rFonts w:ascii="Times New Roman" w:hAnsi="Times New Roman" w:cs="Times New Roman"/>
          <w:b/>
          <w:bCs/>
          <w:color w:val="000000" w:themeColor="text1"/>
          <w:sz w:val="20"/>
          <w:szCs w:val="20"/>
          <w:u w:val="single"/>
        </w:rPr>
        <w:t xml:space="preserve">Antibiotice </w:t>
      </w:r>
      <w:r w:rsidRPr="00195E75">
        <w:rPr>
          <w:rFonts w:ascii="Times New Roman" w:hAnsi="Times New Roman" w:cs="Times New Roman"/>
          <w:b/>
          <w:bCs/>
          <w:color w:val="FF0000"/>
          <w:sz w:val="20"/>
          <w:szCs w:val="20"/>
          <w:u w:val="single"/>
        </w:rPr>
        <w:t>interzise</w:t>
      </w:r>
      <w:r w:rsidRPr="00195E75">
        <w:rPr>
          <w:rFonts w:ascii="Times New Roman" w:hAnsi="Times New Roman" w:cs="Times New Roman"/>
          <w:b/>
          <w:bCs/>
          <w:color w:val="FF0000"/>
          <w:sz w:val="20"/>
          <w:szCs w:val="20"/>
        </w:rPr>
        <w:t>:</w:t>
      </w:r>
      <w:r w:rsidR="006C315F" w:rsidRPr="00195E75">
        <w:rPr>
          <w:rFonts w:ascii="Times New Roman" w:hAnsi="Times New Roman" w:cs="Times New Roman"/>
          <w:color w:val="FF0000"/>
          <w:sz w:val="20"/>
          <w:szCs w:val="20"/>
          <w:u w:val="single"/>
        </w:rPr>
        <w:t xml:space="preserve"> </w:t>
      </w:r>
      <w:r w:rsidRPr="00E10935">
        <w:rPr>
          <w:rFonts w:ascii="Times New Roman" w:hAnsi="Times New Roman" w:cs="Times New Roman"/>
          <w:b/>
          <w:bCs/>
          <w:color w:val="000000" w:themeColor="text1"/>
          <w:sz w:val="20"/>
          <w:szCs w:val="20"/>
        </w:rPr>
        <w:t>AUGMENTIN</w:t>
      </w:r>
      <w:r w:rsidRPr="00E10935">
        <w:rPr>
          <w:rFonts w:ascii="Times New Roman" w:hAnsi="Times New Roman" w:cs="Times New Roman"/>
          <w:b/>
          <w:bCs/>
          <w:color w:val="000000" w:themeColor="text1"/>
          <w:sz w:val="20"/>
          <w:szCs w:val="20"/>
          <w:u w:val="single"/>
        </w:rPr>
        <w:t xml:space="preserve"> </w:t>
      </w:r>
      <w:r w:rsidRPr="00E10935">
        <w:rPr>
          <w:rFonts w:ascii="Times New Roman" w:hAnsi="Times New Roman" w:cs="Times New Roman"/>
          <w:b/>
          <w:bCs/>
          <w:color w:val="000000" w:themeColor="text1"/>
          <w:sz w:val="20"/>
          <w:szCs w:val="20"/>
        </w:rPr>
        <w:t>, ERITROMICIN</w:t>
      </w:r>
      <w:r w:rsidRPr="00E10935">
        <w:rPr>
          <w:rFonts w:ascii="Times New Roman" w:hAnsi="Times New Roman" w:cs="Times New Roman"/>
          <w:b/>
          <w:bCs/>
          <w:color w:val="000000" w:themeColor="text1"/>
          <w:sz w:val="20"/>
          <w:szCs w:val="20"/>
          <w:lang w:val="ro-RO"/>
        </w:rPr>
        <w:t>Ă</w:t>
      </w:r>
    </w:p>
    <w:p w14:paraId="1555FC17" w14:textId="2F08068C" w:rsidR="006D7764" w:rsidRPr="00BB544B" w:rsidRDefault="006D7764" w:rsidP="00BB544B">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 xml:space="preserve">Antibiotice aprobate pentru GSD: Amoxicilină, </w:t>
      </w:r>
      <w:r w:rsidR="00693903" w:rsidRPr="00BB544B">
        <w:rPr>
          <w:rFonts w:ascii="Times New Roman" w:hAnsi="Times New Roman" w:cs="Times New Roman"/>
          <w:sz w:val="20"/>
          <w:szCs w:val="20"/>
        </w:rPr>
        <w:t>Azitromicină (Zitromax), Bactrim, Ciprofloxacină (Cipro),               Clindamicină, Flagil, Keflex, Vancomicină</w:t>
      </w:r>
    </w:p>
    <w:p w14:paraId="0BBD57D0" w14:textId="77777777" w:rsidR="00220717" w:rsidRPr="00BB544B" w:rsidRDefault="00693903" w:rsidP="00BB544B">
      <w:pPr>
        <w:spacing w:line="240" w:lineRule="auto"/>
        <w:jc w:val="both"/>
        <w:rPr>
          <w:rFonts w:ascii="Times New Roman" w:hAnsi="Times New Roman" w:cs="Times New Roman"/>
          <w:sz w:val="20"/>
          <w:szCs w:val="20"/>
        </w:rPr>
      </w:pPr>
      <w:r w:rsidRPr="00E10935">
        <w:rPr>
          <w:rFonts w:ascii="Times New Roman" w:hAnsi="Times New Roman" w:cs="Times New Roman"/>
          <w:b/>
          <w:bCs/>
          <w:color w:val="FF0000"/>
          <w:sz w:val="20"/>
          <w:szCs w:val="20"/>
        </w:rPr>
        <w:t>NU</w:t>
      </w:r>
      <w:r w:rsidRPr="00BB544B">
        <w:rPr>
          <w:rFonts w:ascii="Times New Roman" w:hAnsi="Times New Roman" w:cs="Times New Roman"/>
          <w:b/>
          <w:bCs/>
          <w:sz w:val="20"/>
          <w:szCs w:val="20"/>
        </w:rPr>
        <w:t>:</w:t>
      </w:r>
      <w:r w:rsidRPr="00BB544B">
        <w:rPr>
          <w:rFonts w:ascii="Times New Roman" w:hAnsi="Times New Roman" w:cs="Times New Roman"/>
          <w:sz w:val="20"/>
          <w:szCs w:val="20"/>
        </w:rPr>
        <w:t xml:space="preserve"> medicamente pentru fertilitate, steroizi, contraceptive hormonale, medicamente stimulante (stimulente), Sudafed.</w:t>
      </w:r>
      <w:r w:rsidR="00220717" w:rsidRPr="00BB544B">
        <w:rPr>
          <w:rFonts w:ascii="Times New Roman" w:hAnsi="Times New Roman" w:cs="Times New Roman"/>
          <w:sz w:val="20"/>
          <w:szCs w:val="20"/>
        </w:rPr>
        <w:t xml:space="preserve"> </w:t>
      </w:r>
    </w:p>
    <w:p w14:paraId="3481FC41" w14:textId="77777777" w:rsidR="009A6186" w:rsidRDefault="008C0FB9" w:rsidP="009A6186">
      <w:pPr>
        <w:spacing w:line="240" w:lineRule="auto"/>
        <w:jc w:val="both"/>
        <w:rPr>
          <w:rFonts w:ascii="Times New Roman" w:hAnsi="Times New Roman" w:cs="Times New Roman"/>
          <w:sz w:val="20"/>
          <w:szCs w:val="20"/>
        </w:rPr>
      </w:pPr>
      <w:r w:rsidRPr="00BB544B">
        <w:rPr>
          <w:rFonts w:ascii="Times New Roman" w:hAnsi="Times New Roman" w:cs="Times New Roman"/>
          <w:sz w:val="20"/>
          <w:szCs w:val="20"/>
        </w:rPr>
        <w:t>Acidoza metabolică simptomatică (pH &lt;7,25) poate necesita un tratament tampon activ cu bicarbonat de sodiu 4,2% (0,5 mmol / ml) intravenos. Doza în mmol =0,33 x greutate corporală în kg x deficit de bază.</w:t>
      </w:r>
      <w:r w:rsidRPr="00BB544B">
        <w:rPr>
          <w:rFonts w:ascii="Times New Roman" w:hAnsi="Times New Roman" w:cs="Times New Roman"/>
          <w:sz w:val="20"/>
          <w:szCs w:val="20"/>
        </w:rPr>
        <w:tab/>
      </w:r>
    </w:p>
    <w:p w14:paraId="626DA2E4" w14:textId="2589DA21" w:rsidR="007C2509" w:rsidRPr="00BB544B" w:rsidRDefault="007C2509" w:rsidP="009A6186">
      <w:pPr>
        <w:spacing w:line="240" w:lineRule="auto"/>
        <w:jc w:val="both"/>
        <w:rPr>
          <w:rFonts w:ascii="Times New Roman" w:hAnsi="Times New Roman" w:cs="Times New Roman"/>
          <w:sz w:val="20"/>
          <w:szCs w:val="20"/>
        </w:rPr>
      </w:pPr>
      <w:r w:rsidRPr="00BB544B">
        <w:rPr>
          <w:sz w:val="20"/>
          <w:szCs w:val="20"/>
        </w:rPr>
        <w:t xml:space="preserve">Pacienții cu boală de stocare a glicogenului, în ciuda condițiilor substanțiale comorbide, </w:t>
      </w:r>
      <w:r w:rsidRPr="00BB544B">
        <w:rPr>
          <w:b/>
          <w:bCs/>
          <w:sz w:val="20"/>
          <w:szCs w:val="20"/>
        </w:rPr>
        <w:t>tolerează managementul anestezic fără complicații majore</w:t>
      </w:r>
      <w:r w:rsidRPr="00BB544B">
        <w:rPr>
          <w:sz w:val="20"/>
          <w:szCs w:val="20"/>
        </w:rPr>
        <w:t xml:space="preserve">. Când acești pacienți sunt supuși anesteziei, se pot dezvolta complicații perioperatorii, inclusiv hipoglicemie, acidoză lactică, rabdomioliză, mioglobinurie, insuficiență renală acută și oboseală postoperatorie. Este prudentă monitorizarea atentă și gestionarea nivelurilor de glucoză </w:t>
      </w:r>
      <w:r w:rsidR="00DE7264">
        <w:rPr>
          <w:sz w:val="20"/>
          <w:szCs w:val="20"/>
        </w:rPr>
        <w:t xml:space="preserve">și lactat </w:t>
      </w:r>
      <w:r w:rsidRPr="00BB544B">
        <w:rPr>
          <w:sz w:val="20"/>
          <w:szCs w:val="20"/>
        </w:rPr>
        <w:t>din sânge la pacienții cu boală de depozitare a glicogenului de tip 1.</w:t>
      </w:r>
    </w:p>
    <w:sectPr w:rsidR="007C2509" w:rsidRPr="00BB544B" w:rsidSect="009A618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2AF8" w14:textId="77777777" w:rsidR="008644E5" w:rsidRDefault="008644E5" w:rsidP="00DF133E">
      <w:pPr>
        <w:spacing w:after="0" w:line="240" w:lineRule="auto"/>
      </w:pPr>
      <w:r>
        <w:separator/>
      </w:r>
    </w:p>
  </w:endnote>
  <w:endnote w:type="continuationSeparator" w:id="0">
    <w:p w14:paraId="6665FE0B" w14:textId="77777777" w:rsidR="008644E5" w:rsidRDefault="008644E5" w:rsidP="00DF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1186" w14:textId="77777777" w:rsidR="009A6186" w:rsidRDefault="009A6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F2DD" w14:textId="77777777" w:rsidR="00220717" w:rsidRDefault="00220717" w:rsidP="00DF133E">
    <w:pPr>
      <w:pStyle w:val="Footer"/>
      <w:pBdr>
        <w:bottom w:val="single" w:sz="12" w:space="1" w:color="auto"/>
      </w:pBdr>
      <w:rPr>
        <w:b/>
        <w:color w:val="00B050"/>
        <w:sz w:val="18"/>
        <w:szCs w:val="24"/>
      </w:rPr>
    </w:pPr>
  </w:p>
  <w:p w14:paraId="6FC58054" w14:textId="1F0DA516" w:rsidR="00DF133E" w:rsidRPr="00DF133E" w:rsidRDefault="00DF133E" w:rsidP="00DF133E">
    <w:pPr>
      <w:pStyle w:val="Footer"/>
      <w:pBdr>
        <w:bottom w:val="single" w:sz="12" w:space="1" w:color="auto"/>
      </w:pBdr>
      <w:rPr>
        <w:b/>
        <w:color w:val="00B050"/>
        <w:sz w:val="18"/>
        <w:szCs w:val="24"/>
      </w:rPr>
    </w:pPr>
    <w:r w:rsidRPr="00DF133E">
      <w:rPr>
        <w:b/>
        <w:color w:val="00B050"/>
        <w:sz w:val="18"/>
        <w:szCs w:val="24"/>
      </w:rPr>
      <w:t>APG - ASOCIAȚIA PERSOANELOR CU GLICOGENOZĂ</w:t>
    </w:r>
  </w:p>
  <w:p w14:paraId="06D90E54" w14:textId="77777777" w:rsidR="00DF133E" w:rsidRPr="00DF133E" w:rsidRDefault="00DF133E" w:rsidP="00DF133E">
    <w:pPr>
      <w:pStyle w:val="Footer"/>
      <w:rPr>
        <w:b/>
        <w:sz w:val="14"/>
        <w:szCs w:val="20"/>
      </w:rPr>
    </w:pPr>
    <w:r w:rsidRPr="00DF133E">
      <w:rPr>
        <w:b/>
        <w:sz w:val="14"/>
        <w:szCs w:val="20"/>
      </w:rPr>
      <w:t>Adresă: Str. București nr. 89, ap.23, Cluj-Napoca, România, 400613</w:t>
    </w:r>
  </w:p>
  <w:p w14:paraId="50077113" w14:textId="77777777" w:rsidR="00DF133E" w:rsidRPr="00DF133E" w:rsidRDefault="00DF133E" w:rsidP="00DF133E">
    <w:pPr>
      <w:pStyle w:val="Footer"/>
      <w:rPr>
        <w:b/>
        <w:sz w:val="14"/>
        <w:szCs w:val="20"/>
      </w:rPr>
    </w:pPr>
    <w:r w:rsidRPr="00DF133E">
      <w:rPr>
        <w:b/>
        <w:sz w:val="14"/>
        <w:szCs w:val="20"/>
      </w:rPr>
      <w:t xml:space="preserve">E-mail: </w:t>
    </w:r>
    <w:hyperlink r:id="rId1" w:history="1">
      <w:r w:rsidRPr="00DF133E">
        <w:rPr>
          <w:rStyle w:val="Hyperlink"/>
          <w:b/>
          <w:sz w:val="14"/>
          <w:szCs w:val="20"/>
        </w:rPr>
        <w:t>office@glicogenoza.ro</w:t>
      </w:r>
    </w:hyperlink>
  </w:p>
  <w:p w14:paraId="4889C775" w14:textId="77777777" w:rsidR="00DF133E" w:rsidRPr="00DF133E" w:rsidRDefault="00DF133E" w:rsidP="00DF133E">
    <w:pPr>
      <w:pStyle w:val="Footer"/>
      <w:rPr>
        <w:b/>
        <w:sz w:val="14"/>
        <w:szCs w:val="20"/>
      </w:rPr>
    </w:pPr>
    <w:r w:rsidRPr="00DF133E">
      <w:rPr>
        <w:b/>
        <w:sz w:val="14"/>
        <w:szCs w:val="20"/>
      </w:rPr>
      <w:t>Tel: 0743794300</w:t>
    </w:r>
  </w:p>
  <w:p w14:paraId="68B5C05F" w14:textId="77777777" w:rsidR="00DF133E" w:rsidRPr="00DF133E" w:rsidRDefault="00DF133E" w:rsidP="00DF133E">
    <w:pPr>
      <w:pStyle w:val="Footer"/>
      <w:rPr>
        <w:b/>
        <w:sz w:val="14"/>
        <w:szCs w:val="20"/>
      </w:rPr>
    </w:pPr>
    <w:r w:rsidRPr="00DF133E">
      <w:rPr>
        <w:b/>
        <w:sz w:val="14"/>
        <w:szCs w:val="20"/>
      </w:rPr>
      <w:t>Cod fiscal: 40452366</w:t>
    </w:r>
  </w:p>
  <w:p w14:paraId="1FA1F9CB" w14:textId="77777777" w:rsidR="00DF133E" w:rsidRPr="00DF133E" w:rsidRDefault="00DF133E" w:rsidP="00DF133E">
    <w:pPr>
      <w:pStyle w:val="Footer"/>
      <w:rPr>
        <w:b/>
        <w:sz w:val="14"/>
        <w:szCs w:val="20"/>
      </w:rPr>
    </w:pPr>
    <w:r w:rsidRPr="00DF133E">
      <w:rPr>
        <w:b/>
        <w:sz w:val="14"/>
        <w:szCs w:val="20"/>
      </w:rPr>
      <w:t>Cont IBAN – RO63BTRLRONCRT0479855001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2F94" w14:textId="77777777" w:rsidR="009A6186" w:rsidRDefault="009A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0F5F" w14:textId="77777777" w:rsidR="008644E5" w:rsidRDefault="008644E5" w:rsidP="00DF133E">
      <w:pPr>
        <w:spacing w:after="0" w:line="240" w:lineRule="auto"/>
      </w:pPr>
      <w:r>
        <w:separator/>
      </w:r>
    </w:p>
  </w:footnote>
  <w:footnote w:type="continuationSeparator" w:id="0">
    <w:p w14:paraId="7198B2FA" w14:textId="77777777" w:rsidR="008644E5" w:rsidRDefault="008644E5" w:rsidP="00DF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0C21" w14:textId="77777777" w:rsidR="009A6186" w:rsidRDefault="009A6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7C2A" w14:textId="1948A7E4" w:rsidR="00DF133E" w:rsidRDefault="00DF133E" w:rsidP="00B009EA">
    <w:pPr>
      <w:pStyle w:val="Header"/>
      <w:jc w:val="center"/>
    </w:pPr>
    <w:r>
      <w:rPr>
        <w:rFonts w:ascii="Bookman Old Style" w:hAnsi="Bookman Old Style"/>
        <w:b/>
        <w:noProof/>
        <w:color w:val="00B050"/>
        <w:sz w:val="32"/>
        <w:szCs w:val="32"/>
        <w:lang w:eastAsia="ro-RO"/>
      </w:rPr>
      <w:drawing>
        <wp:inline distT="0" distB="0" distL="0" distR="0" wp14:anchorId="135D8629" wp14:editId="174FBF37">
          <wp:extent cx="4601261" cy="659512"/>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7771" cy="6790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CC17" w14:textId="77777777" w:rsidR="009A6186" w:rsidRDefault="009A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F9B"/>
    <w:multiLevelType w:val="hybridMultilevel"/>
    <w:tmpl w:val="611C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01B1C"/>
    <w:multiLevelType w:val="hybridMultilevel"/>
    <w:tmpl w:val="35882BC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1979"/>
    <w:multiLevelType w:val="hybridMultilevel"/>
    <w:tmpl w:val="BFD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F"/>
    <w:rsid w:val="000653E5"/>
    <w:rsid w:val="000D6A14"/>
    <w:rsid w:val="0016069F"/>
    <w:rsid w:val="00195E75"/>
    <w:rsid w:val="00203F0B"/>
    <w:rsid w:val="00220717"/>
    <w:rsid w:val="00275878"/>
    <w:rsid w:val="002A675E"/>
    <w:rsid w:val="002C019A"/>
    <w:rsid w:val="00334426"/>
    <w:rsid w:val="00382127"/>
    <w:rsid w:val="003F2129"/>
    <w:rsid w:val="00427BDE"/>
    <w:rsid w:val="004D21D5"/>
    <w:rsid w:val="00591649"/>
    <w:rsid w:val="00623D78"/>
    <w:rsid w:val="00693903"/>
    <w:rsid w:val="006C315F"/>
    <w:rsid w:val="006D7764"/>
    <w:rsid w:val="007C2509"/>
    <w:rsid w:val="00810962"/>
    <w:rsid w:val="008644E5"/>
    <w:rsid w:val="008C0FB9"/>
    <w:rsid w:val="00972A14"/>
    <w:rsid w:val="00983D20"/>
    <w:rsid w:val="009A6186"/>
    <w:rsid w:val="009A6A3C"/>
    <w:rsid w:val="009B2864"/>
    <w:rsid w:val="009D735C"/>
    <w:rsid w:val="00A62D61"/>
    <w:rsid w:val="00AC54D3"/>
    <w:rsid w:val="00B009EA"/>
    <w:rsid w:val="00B0176D"/>
    <w:rsid w:val="00B7698C"/>
    <w:rsid w:val="00BB544B"/>
    <w:rsid w:val="00CA28E7"/>
    <w:rsid w:val="00D33C3B"/>
    <w:rsid w:val="00DE7264"/>
    <w:rsid w:val="00DF133E"/>
    <w:rsid w:val="00DF6EAC"/>
    <w:rsid w:val="00E10935"/>
    <w:rsid w:val="00E4480B"/>
    <w:rsid w:val="00E52E18"/>
    <w:rsid w:val="00F57A6A"/>
    <w:rsid w:val="00F62DF3"/>
    <w:rsid w:val="00FD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E584D"/>
  <w15:chartTrackingRefBased/>
  <w15:docId w15:val="{E8198CC1-1517-4D02-94D9-716C8F52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735C"/>
    <w:rPr>
      <w:i/>
      <w:iCs/>
    </w:rPr>
  </w:style>
  <w:style w:type="paragraph" w:styleId="ListParagraph">
    <w:name w:val="List Paragraph"/>
    <w:basedOn w:val="Normal"/>
    <w:uiPriority w:val="34"/>
    <w:qFormat/>
    <w:rsid w:val="00275878"/>
    <w:pPr>
      <w:ind w:left="720"/>
      <w:contextualSpacing/>
    </w:pPr>
  </w:style>
  <w:style w:type="paragraph" w:styleId="HTMLPreformatted">
    <w:name w:val="HTML Preformatted"/>
    <w:basedOn w:val="Normal"/>
    <w:link w:val="HTMLPreformattedChar"/>
    <w:uiPriority w:val="99"/>
    <w:semiHidden/>
    <w:unhideWhenUsed/>
    <w:rsid w:val="00D3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C3B"/>
    <w:rPr>
      <w:rFonts w:ascii="Courier New" w:eastAsia="Times New Roman" w:hAnsi="Courier New" w:cs="Courier New"/>
      <w:sz w:val="20"/>
      <w:szCs w:val="20"/>
    </w:rPr>
  </w:style>
  <w:style w:type="paragraph" w:styleId="Header">
    <w:name w:val="header"/>
    <w:basedOn w:val="Normal"/>
    <w:link w:val="HeaderChar"/>
    <w:uiPriority w:val="99"/>
    <w:unhideWhenUsed/>
    <w:rsid w:val="00DF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33E"/>
  </w:style>
  <w:style w:type="paragraph" w:styleId="Footer">
    <w:name w:val="footer"/>
    <w:basedOn w:val="Normal"/>
    <w:link w:val="FooterChar"/>
    <w:uiPriority w:val="99"/>
    <w:unhideWhenUsed/>
    <w:rsid w:val="00DF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33E"/>
  </w:style>
  <w:style w:type="character" w:styleId="Hyperlink">
    <w:name w:val="Hyperlink"/>
    <w:basedOn w:val="DefaultParagraphFont"/>
    <w:uiPriority w:val="99"/>
    <w:unhideWhenUsed/>
    <w:rsid w:val="00DF1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9556">
      <w:bodyDiv w:val="1"/>
      <w:marLeft w:val="0"/>
      <w:marRight w:val="0"/>
      <w:marTop w:val="0"/>
      <w:marBottom w:val="0"/>
      <w:divBdr>
        <w:top w:val="none" w:sz="0" w:space="0" w:color="auto"/>
        <w:left w:val="none" w:sz="0" w:space="0" w:color="auto"/>
        <w:bottom w:val="none" w:sz="0" w:space="0" w:color="auto"/>
        <w:right w:val="none" w:sz="0" w:space="0" w:color="auto"/>
      </w:divBdr>
    </w:div>
    <w:div w:id="827791194">
      <w:bodyDiv w:val="1"/>
      <w:marLeft w:val="0"/>
      <w:marRight w:val="0"/>
      <w:marTop w:val="0"/>
      <w:marBottom w:val="0"/>
      <w:divBdr>
        <w:top w:val="none" w:sz="0" w:space="0" w:color="auto"/>
        <w:left w:val="none" w:sz="0" w:space="0" w:color="auto"/>
        <w:bottom w:val="none" w:sz="0" w:space="0" w:color="auto"/>
        <w:right w:val="none" w:sz="0" w:space="0" w:color="auto"/>
      </w:divBdr>
    </w:div>
    <w:div w:id="2041121070">
      <w:bodyDiv w:val="1"/>
      <w:marLeft w:val="0"/>
      <w:marRight w:val="0"/>
      <w:marTop w:val="0"/>
      <w:marBottom w:val="0"/>
      <w:divBdr>
        <w:top w:val="none" w:sz="0" w:space="0" w:color="auto"/>
        <w:left w:val="none" w:sz="0" w:space="0" w:color="auto"/>
        <w:bottom w:val="none" w:sz="0" w:space="0" w:color="auto"/>
        <w:right w:val="none" w:sz="0" w:space="0" w:color="auto"/>
      </w:divBdr>
    </w:div>
    <w:div w:id="20961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glicogenoz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Borhan Andrei</dc:creator>
  <cp:keywords/>
  <dc:description/>
  <cp:lastModifiedBy>Toderas,  (Silviu)</cp:lastModifiedBy>
  <cp:revision>2</cp:revision>
  <dcterms:created xsi:type="dcterms:W3CDTF">2021-02-23T19:08:00Z</dcterms:created>
  <dcterms:modified xsi:type="dcterms:W3CDTF">2021-02-23T19:08:00Z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a945d-f3c1-4d25-a63f-c5a06d106e9c_Enabled">
    <vt:lpwstr>true</vt:lpwstr>
  </property>
  <property fmtid="{D5CDD505-2E9C-101B-9397-08002B2CF9AE}" pid="3" name="MSIP_Label_ddca945d-f3c1-4d25-a63f-c5a06d106e9c_SetDate">
    <vt:lpwstr>2021-02-23T18:54:35Z</vt:lpwstr>
  </property>
  <property fmtid="{D5CDD505-2E9C-101B-9397-08002B2CF9AE}" pid="4" name="MSIP_Label_ddca945d-f3c1-4d25-a63f-c5a06d106e9c_Method">
    <vt:lpwstr>Privileged</vt:lpwstr>
  </property>
  <property fmtid="{D5CDD505-2E9C-101B-9397-08002B2CF9AE}" pid="5" name="MSIP_Label_ddca945d-f3c1-4d25-a63f-c5a06d106e9c_Name">
    <vt:lpwstr>Internal</vt:lpwstr>
  </property>
  <property fmtid="{D5CDD505-2E9C-101B-9397-08002B2CF9AE}" pid="6" name="MSIP_Label_ddca945d-f3c1-4d25-a63f-c5a06d106e9c_SiteId">
    <vt:lpwstr>fed95e69-8d73-43fe-affb-a7d85ede36fb</vt:lpwstr>
  </property>
  <property fmtid="{D5CDD505-2E9C-101B-9397-08002B2CF9AE}" pid="7" name="MSIP_Label_ddca945d-f3c1-4d25-a63f-c5a06d106e9c_ActionId">
    <vt:lpwstr>4a478761-51e1-4bb1-9548-45208df453da</vt:lpwstr>
  </property>
  <property fmtid="{D5CDD505-2E9C-101B-9397-08002B2CF9AE}" pid="8" name="MSIP_Label_ddca945d-f3c1-4d25-a63f-c5a06d106e9c_ContentBits">
    <vt:lpwstr>0</vt:lpwstr>
  </property>
</Properties>
</file>